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685" w:rsidRPr="00DA699C" w:rsidRDefault="000B0685" w:rsidP="00DA699C">
      <w:pPr>
        <w:pStyle w:val="ab"/>
        <w:spacing w:line="280" w:lineRule="exact"/>
        <w:ind w:firstLine="480"/>
        <w:rPr>
          <w:rFonts w:ascii="微软雅黑" w:eastAsia="微软雅黑" w:hAnsi="微软雅黑" w:cs="宋体"/>
          <w:sz w:val="24"/>
          <w:szCs w:val="24"/>
        </w:rPr>
      </w:pPr>
    </w:p>
    <w:p w:rsidR="000B0685" w:rsidRPr="00DA699C" w:rsidRDefault="000E400F" w:rsidP="00DA699C">
      <w:pPr>
        <w:pStyle w:val="a6"/>
        <w:spacing w:line="280" w:lineRule="exact"/>
        <w:rPr>
          <w:rFonts w:ascii="微软雅黑" w:eastAsia="微软雅黑" w:hAnsi="微软雅黑" w:hint="default"/>
          <w:sz w:val="24"/>
          <w:szCs w:val="24"/>
        </w:rPr>
      </w:pPr>
      <w:r w:rsidRPr="00DA699C">
        <w:rPr>
          <w:rFonts w:ascii="微软雅黑" w:eastAsia="微软雅黑" w:hAnsi="微软雅黑"/>
          <w:sz w:val="24"/>
          <w:szCs w:val="24"/>
        </w:rPr>
        <w:t>中华人民共和国最高人民法院</w:t>
      </w:r>
    </w:p>
    <w:p w:rsidR="000B0685" w:rsidRPr="00DA699C" w:rsidRDefault="000E400F" w:rsidP="00DA699C">
      <w:pPr>
        <w:pStyle w:val="a6"/>
        <w:spacing w:line="280" w:lineRule="exact"/>
        <w:rPr>
          <w:rFonts w:ascii="微软雅黑" w:eastAsia="微软雅黑" w:hAnsi="微软雅黑" w:hint="default"/>
          <w:sz w:val="24"/>
          <w:szCs w:val="24"/>
        </w:rPr>
      </w:pPr>
      <w:r w:rsidRPr="00DA699C">
        <w:rPr>
          <w:rFonts w:ascii="微软雅黑" w:eastAsia="微软雅黑" w:hAnsi="微软雅黑"/>
          <w:sz w:val="24"/>
          <w:szCs w:val="24"/>
        </w:rPr>
        <w:t>公</w:t>
      </w:r>
      <w:r w:rsidRPr="00DA699C">
        <w:rPr>
          <w:rFonts w:ascii="微软雅黑" w:eastAsia="微软雅黑" w:hAnsi="微软雅黑"/>
          <w:sz w:val="24"/>
          <w:szCs w:val="24"/>
        </w:rPr>
        <w:t xml:space="preserve">    </w:t>
      </w:r>
      <w:r w:rsidRPr="00DA699C">
        <w:rPr>
          <w:rFonts w:ascii="微软雅黑" w:eastAsia="微软雅黑" w:hAnsi="微软雅黑"/>
          <w:sz w:val="24"/>
          <w:szCs w:val="24"/>
        </w:rPr>
        <w:t>告</w:t>
      </w:r>
    </w:p>
    <w:p w:rsidR="000B0685" w:rsidRPr="00DA699C" w:rsidRDefault="000B0685" w:rsidP="00DA699C">
      <w:pPr>
        <w:pStyle w:val="ab"/>
        <w:spacing w:line="280" w:lineRule="exact"/>
        <w:ind w:firstLine="480"/>
        <w:rPr>
          <w:rFonts w:ascii="微软雅黑" w:eastAsia="微软雅黑" w:hAnsi="微软雅黑" w:cs="宋体"/>
          <w:sz w:val="24"/>
          <w:szCs w:val="24"/>
        </w:rPr>
      </w:pPr>
    </w:p>
    <w:p w:rsidR="000B0685" w:rsidRPr="00DA699C" w:rsidRDefault="000E400F" w:rsidP="00DA699C">
      <w:pPr>
        <w:pStyle w:val="ab"/>
        <w:spacing w:line="28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最高人民法院《关于海事诉讼管辖问题的规定》已于</w:t>
      </w:r>
      <w:r w:rsidRPr="00DA699C">
        <w:rPr>
          <w:rFonts w:ascii="微软雅黑" w:eastAsia="微软雅黑" w:hAnsi="微软雅黑" w:hint="eastAsia"/>
          <w:sz w:val="24"/>
          <w:szCs w:val="24"/>
        </w:rPr>
        <w:t>2015</w:t>
      </w:r>
      <w:r w:rsidRPr="00DA699C">
        <w:rPr>
          <w:rFonts w:ascii="微软雅黑" w:eastAsia="微软雅黑" w:hAnsi="微软雅黑" w:hint="eastAsia"/>
          <w:sz w:val="24"/>
          <w:szCs w:val="24"/>
        </w:rPr>
        <w:t>年</w:t>
      </w:r>
      <w:r w:rsidRPr="00DA699C">
        <w:rPr>
          <w:rFonts w:ascii="微软雅黑" w:eastAsia="微软雅黑" w:hAnsi="微软雅黑" w:hint="eastAsia"/>
          <w:sz w:val="24"/>
          <w:szCs w:val="24"/>
        </w:rPr>
        <w:t>12</w:t>
      </w:r>
      <w:r w:rsidRPr="00DA699C">
        <w:rPr>
          <w:rFonts w:ascii="微软雅黑" w:eastAsia="微软雅黑" w:hAnsi="微软雅黑" w:hint="eastAsia"/>
          <w:sz w:val="24"/>
          <w:szCs w:val="24"/>
        </w:rPr>
        <w:t>月</w:t>
      </w:r>
      <w:r w:rsidRPr="00DA699C">
        <w:rPr>
          <w:rFonts w:ascii="微软雅黑" w:eastAsia="微软雅黑" w:hAnsi="微软雅黑" w:hint="eastAsia"/>
          <w:sz w:val="24"/>
          <w:szCs w:val="24"/>
        </w:rPr>
        <w:t>28</w:t>
      </w:r>
      <w:r w:rsidRPr="00DA699C">
        <w:rPr>
          <w:rFonts w:ascii="微软雅黑" w:eastAsia="微软雅黑" w:hAnsi="微软雅黑" w:hint="eastAsia"/>
          <w:sz w:val="24"/>
          <w:szCs w:val="24"/>
        </w:rPr>
        <w:t>日由最高人民法院审判委员会第</w:t>
      </w:r>
      <w:r w:rsidRPr="00DA699C">
        <w:rPr>
          <w:rFonts w:ascii="微软雅黑" w:eastAsia="微软雅黑" w:hAnsi="微软雅黑" w:hint="eastAsia"/>
          <w:sz w:val="24"/>
          <w:szCs w:val="24"/>
        </w:rPr>
        <w:t>1674</w:t>
      </w:r>
      <w:r w:rsidRPr="00DA699C">
        <w:rPr>
          <w:rFonts w:ascii="微软雅黑" w:eastAsia="微软雅黑" w:hAnsi="微软雅黑" w:hint="eastAsia"/>
          <w:sz w:val="24"/>
          <w:szCs w:val="24"/>
        </w:rPr>
        <w:t>次会议通过，现予公布，自</w:t>
      </w:r>
      <w:r w:rsidRPr="00DA699C">
        <w:rPr>
          <w:rFonts w:ascii="微软雅黑" w:eastAsia="微软雅黑" w:hAnsi="微软雅黑" w:hint="eastAsia"/>
          <w:sz w:val="24"/>
          <w:szCs w:val="24"/>
        </w:rPr>
        <w:t>2016</w:t>
      </w:r>
      <w:r w:rsidRPr="00DA699C">
        <w:rPr>
          <w:rFonts w:ascii="微软雅黑" w:eastAsia="微软雅黑" w:hAnsi="微软雅黑" w:hint="eastAsia"/>
          <w:sz w:val="24"/>
          <w:szCs w:val="24"/>
        </w:rPr>
        <w:t>年</w:t>
      </w:r>
      <w:r w:rsidRPr="00DA699C">
        <w:rPr>
          <w:rFonts w:ascii="微软雅黑" w:eastAsia="微软雅黑" w:hAnsi="微软雅黑" w:hint="eastAsia"/>
          <w:sz w:val="24"/>
          <w:szCs w:val="24"/>
        </w:rPr>
        <w:t>3</w:t>
      </w:r>
      <w:r w:rsidRPr="00DA699C">
        <w:rPr>
          <w:rFonts w:ascii="微软雅黑" w:eastAsia="微软雅黑" w:hAnsi="微软雅黑" w:hint="eastAsia"/>
          <w:sz w:val="24"/>
          <w:szCs w:val="24"/>
        </w:rPr>
        <w:t>月</w:t>
      </w: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日起施行。</w:t>
      </w:r>
    </w:p>
    <w:p w:rsidR="000B0685" w:rsidRPr="00DA699C" w:rsidRDefault="000B0685" w:rsidP="00DA699C">
      <w:pPr>
        <w:pStyle w:val="ab"/>
        <w:spacing w:line="280" w:lineRule="exact"/>
        <w:ind w:firstLine="480"/>
        <w:rPr>
          <w:rFonts w:ascii="微软雅黑" w:eastAsia="微软雅黑" w:hAnsi="微软雅黑" w:cs="宋体"/>
          <w:sz w:val="24"/>
          <w:szCs w:val="24"/>
        </w:rPr>
      </w:pPr>
    </w:p>
    <w:p w:rsidR="000B0685" w:rsidRPr="00DA699C" w:rsidRDefault="000B0685" w:rsidP="00DA699C">
      <w:pPr>
        <w:pStyle w:val="ab"/>
        <w:spacing w:line="280" w:lineRule="exact"/>
        <w:ind w:firstLine="480"/>
        <w:rPr>
          <w:rFonts w:ascii="微软雅黑" w:eastAsia="微软雅黑" w:hAnsi="微软雅黑" w:cs="宋体"/>
          <w:sz w:val="24"/>
          <w:szCs w:val="24"/>
        </w:rPr>
      </w:pPr>
    </w:p>
    <w:p w:rsidR="000B0685" w:rsidRPr="00DA699C" w:rsidRDefault="000E400F" w:rsidP="00DA699C">
      <w:pPr>
        <w:pStyle w:val="a9"/>
        <w:spacing w:line="280" w:lineRule="exact"/>
        <w:rPr>
          <w:rFonts w:ascii="微软雅黑" w:eastAsia="微软雅黑" w:hAnsi="微软雅黑"/>
          <w:sz w:val="24"/>
          <w:szCs w:val="24"/>
        </w:rPr>
      </w:pPr>
      <w:r w:rsidRPr="00DA699C">
        <w:rPr>
          <w:rFonts w:ascii="微软雅黑" w:eastAsia="微软雅黑" w:hAnsi="微软雅黑" w:hint="eastAsia"/>
          <w:sz w:val="24"/>
          <w:szCs w:val="24"/>
        </w:rPr>
        <w:t>2016</w:t>
      </w:r>
      <w:r w:rsidRPr="00DA699C">
        <w:rPr>
          <w:rFonts w:ascii="微软雅黑" w:eastAsia="微软雅黑" w:hAnsi="微软雅黑" w:hint="eastAsia"/>
          <w:sz w:val="24"/>
          <w:szCs w:val="24"/>
        </w:rPr>
        <w:t>年</w:t>
      </w: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月</w:t>
      </w:r>
      <w:r w:rsidRPr="00DA699C">
        <w:rPr>
          <w:rFonts w:ascii="微软雅黑" w:eastAsia="微软雅黑" w:hAnsi="微软雅黑" w:hint="eastAsia"/>
          <w:sz w:val="24"/>
          <w:szCs w:val="24"/>
        </w:rPr>
        <w:t>24</w:t>
      </w:r>
      <w:r w:rsidRPr="00DA699C">
        <w:rPr>
          <w:rFonts w:ascii="微软雅黑" w:eastAsia="微软雅黑" w:hAnsi="微软雅黑" w:hint="eastAsia"/>
          <w:sz w:val="24"/>
          <w:szCs w:val="24"/>
        </w:rPr>
        <w:t>日</w:t>
      </w:r>
    </w:p>
    <w:p w:rsidR="000B0685" w:rsidRDefault="000B0685" w:rsidP="00DA699C">
      <w:pPr>
        <w:pStyle w:val="ab"/>
        <w:spacing w:line="280" w:lineRule="exact"/>
        <w:ind w:firstLine="480"/>
        <w:rPr>
          <w:rFonts w:ascii="微软雅黑" w:eastAsia="微软雅黑" w:hAnsi="微软雅黑" w:cs="宋体"/>
          <w:sz w:val="24"/>
          <w:szCs w:val="24"/>
        </w:rPr>
      </w:pPr>
    </w:p>
    <w:p w:rsidR="00021094" w:rsidRPr="00DA699C" w:rsidRDefault="00021094" w:rsidP="00DA699C">
      <w:pPr>
        <w:pStyle w:val="ab"/>
        <w:spacing w:line="280" w:lineRule="exact"/>
        <w:ind w:firstLine="480"/>
        <w:rPr>
          <w:rFonts w:ascii="微软雅黑" w:eastAsia="微软雅黑" w:hAnsi="微软雅黑" w:cs="宋体" w:hint="eastAsia"/>
          <w:sz w:val="24"/>
          <w:szCs w:val="24"/>
        </w:rPr>
      </w:pPr>
      <w:bookmarkStart w:id="0" w:name="_GoBack"/>
      <w:bookmarkEnd w:id="0"/>
    </w:p>
    <w:p w:rsidR="000B0685" w:rsidRPr="00DA699C" w:rsidRDefault="000E400F" w:rsidP="00DA699C">
      <w:pPr>
        <w:pStyle w:val="a6"/>
        <w:spacing w:line="600" w:lineRule="exact"/>
        <w:rPr>
          <w:rFonts w:ascii="微软雅黑" w:eastAsia="微软雅黑" w:hAnsi="微软雅黑" w:hint="default"/>
          <w:b/>
          <w:bCs/>
          <w:color w:val="7030A0"/>
          <w:sz w:val="40"/>
          <w:szCs w:val="40"/>
        </w:rPr>
      </w:pPr>
      <w:r w:rsidRPr="00DA699C">
        <w:rPr>
          <w:rFonts w:ascii="微软雅黑" w:eastAsia="微软雅黑" w:hAnsi="微软雅黑"/>
          <w:b/>
          <w:bCs/>
          <w:color w:val="7030A0"/>
          <w:sz w:val="40"/>
          <w:szCs w:val="40"/>
        </w:rPr>
        <w:t>最高人民法院</w:t>
      </w:r>
      <w:r w:rsidRPr="00DA699C">
        <w:rPr>
          <w:rFonts w:ascii="微软雅黑" w:eastAsia="微软雅黑" w:hAnsi="微软雅黑"/>
          <w:b/>
          <w:bCs/>
          <w:color w:val="7030A0"/>
          <w:sz w:val="40"/>
          <w:szCs w:val="40"/>
        </w:rPr>
        <w:t>关于海事诉讼管辖问题的规定</w:t>
      </w:r>
    </w:p>
    <w:p w:rsidR="000B0685" w:rsidRDefault="000B0685" w:rsidP="00DA699C">
      <w:pPr>
        <w:pStyle w:val="ab"/>
        <w:spacing w:line="280" w:lineRule="exact"/>
        <w:ind w:firstLine="480"/>
        <w:rPr>
          <w:rFonts w:ascii="微软雅黑" w:eastAsia="微软雅黑" w:hAnsi="微软雅黑" w:cs="宋体"/>
          <w:sz w:val="24"/>
          <w:szCs w:val="24"/>
        </w:rPr>
      </w:pPr>
    </w:p>
    <w:p w:rsidR="00DA699C" w:rsidRDefault="00DA699C" w:rsidP="00DA699C">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016-03-01</w:t>
      </w:r>
    </w:p>
    <w:p w:rsidR="00DA699C" w:rsidRPr="00DA699C" w:rsidRDefault="00DA699C" w:rsidP="00DA699C">
      <w:pPr>
        <w:pStyle w:val="ab"/>
        <w:spacing w:line="280" w:lineRule="exact"/>
        <w:ind w:firstLine="480"/>
        <w:rPr>
          <w:rFonts w:ascii="微软雅黑" w:eastAsia="微软雅黑" w:hAnsi="微软雅黑" w:cs="宋体" w:hint="eastAsia"/>
          <w:sz w:val="24"/>
          <w:szCs w:val="24"/>
        </w:rPr>
      </w:pPr>
    </w:p>
    <w:p w:rsidR="000B0685" w:rsidRPr="00DA699C" w:rsidRDefault="000E400F" w:rsidP="00DA699C">
      <w:pPr>
        <w:pStyle w:val="af2"/>
        <w:spacing w:line="280" w:lineRule="exact"/>
        <w:rPr>
          <w:rFonts w:ascii="微软雅黑" w:eastAsia="微软雅黑" w:hAnsi="微软雅黑"/>
          <w:sz w:val="24"/>
          <w:szCs w:val="24"/>
        </w:rPr>
      </w:pPr>
      <w:r w:rsidRPr="00DA699C">
        <w:rPr>
          <w:rFonts w:ascii="微软雅黑" w:eastAsia="微软雅黑" w:hAnsi="微软雅黑" w:hint="eastAsia"/>
          <w:sz w:val="24"/>
          <w:szCs w:val="24"/>
        </w:rPr>
        <w:t>法释〔</w:t>
      </w:r>
      <w:r w:rsidRPr="00DA699C">
        <w:rPr>
          <w:rFonts w:ascii="微软雅黑" w:eastAsia="微软雅黑" w:hAnsi="微软雅黑" w:hint="eastAsia"/>
          <w:sz w:val="24"/>
          <w:szCs w:val="24"/>
        </w:rPr>
        <w:t>2016</w:t>
      </w: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号</w:t>
      </w:r>
    </w:p>
    <w:p w:rsidR="000B0685" w:rsidRPr="00DA699C" w:rsidRDefault="000B0685" w:rsidP="00DA699C">
      <w:pPr>
        <w:pStyle w:val="ab"/>
        <w:spacing w:line="320" w:lineRule="exact"/>
        <w:ind w:firstLine="480"/>
        <w:rPr>
          <w:rFonts w:ascii="微软雅黑" w:eastAsia="微软雅黑" w:hAnsi="微软雅黑" w:cs="宋体"/>
          <w:sz w:val="24"/>
          <w:szCs w:val="24"/>
        </w:rPr>
      </w:pP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为推进“一带一路”建设、海洋强国战略、京津冀一体化、长江经济带发展规划的实施，促进海洋经济发展，及时化解海事纠纷，保证海事法院正确行使海事诉讼管辖权，依法审理海事案件，根据《中华人民共和国民事诉讼法》《中华人民共和国海事诉讼特别程序法》《中华人民共和国行政诉讼法》以及全国人民代表大会常务委员会《关于在沿海港口城市设立海事法院的决定》等法律规定，现将海事诉讼管辖的几个问题规定如下：</w:t>
      </w:r>
    </w:p>
    <w:p w:rsidR="000B0685" w:rsidRPr="00DA699C" w:rsidRDefault="000E400F" w:rsidP="00DA699C">
      <w:pPr>
        <w:pStyle w:val="a8"/>
        <w:spacing w:line="320" w:lineRule="exact"/>
        <w:ind w:firstLine="480"/>
        <w:rPr>
          <w:rFonts w:ascii="微软雅黑" w:eastAsia="微软雅黑" w:hAnsi="微软雅黑"/>
          <w:b/>
          <w:bCs/>
          <w:sz w:val="24"/>
          <w:szCs w:val="24"/>
        </w:rPr>
      </w:pPr>
      <w:r w:rsidRPr="00DA699C">
        <w:rPr>
          <w:rFonts w:ascii="微软雅黑" w:eastAsia="微软雅黑" w:hAnsi="微软雅黑" w:hint="eastAsia"/>
          <w:b/>
          <w:bCs/>
          <w:sz w:val="24"/>
          <w:szCs w:val="24"/>
        </w:rPr>
        <w:t>一、关于管辖区域调整</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根据航运经济发展和海事审判工作的需要，对大连、武汉海事法院的管辖区域</w:t>
      </w:r>
      <w:proofErr w:type="gramStart"/>
      <w:r w:rsidRPr="00DA699C">
        <w:rPr>
          <w:rFonts w:ascii="微软雅黑" w:eastAsia="微软雅黑" w:hAnsi="微软雅黑" w:hint="eastAsia"/>
          <w:sz w:val="24"/>
          <w:szCs w:val="24"/>
        </w:rPr>
        <w:t>作出</w:t>
      </w:r>
      <w:proofErr w:type="gramEnd"/>
      <w:r w:rsidRPr="00DA699C">
        <w:rPr>
          <w:rFonts w:ascii="微软雅黑" w:eastAsia="微软雅黑" w:hAnsi="微软雅黑" w:hint="eastAsia"/>
          <w:sz w:val="24"/>
          <w:szCs w:val="24"/>
        </w:rPr>
        <w:t>如下调整：</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）大连海事法院</w:t>
      </w:r>
      <w:r w:rsidRPr="00DA699C">
        <w:rPr>
          <w:rFonts w:ascii="微软雅黑" w:eastAsia="微软雅黑" w:hAnsi="微软雅黑" w:hint="eastAsia"/>
          <w:sz w:val="24"/>
          <w:szCs w:val="24"/>
        </w:rPr>
        <w:t>管辖下列区域：南自辽宁省与河北省的交界处、东至鸭绿江口的延伸海域和鸭绿江水域，其中包括黄海一部分、渤海一部分、海上岛屿；吉林省的松花江、图们江等通海可航水域及港口；黑龙江省的黑龙江、松花江、乌苏里江等通海可航水域及港口。</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）武汉海事法院管辖下列区域：自四川省宜宾市合江门至江苏省</w:t>
      </w:r>
      <w:proofErr w:type="gramStart"/>
      <w:r w:rsidRPr="00DA699C">
        <w:rPr>
          <w:rFonts w:ascii="微软雅黑" w:eastAsia="微软雅黑" w:hAnsi="微软雅黑" w:hint="eastAsia"/>
          <w:sz w:val="24"/>
          <w:szCs w:val="24"/>
        </w:rPr>
        <w:t>浏</w:t>
      </w:r>
      <w:proofErr w:type="gramEnd"/>
      <w:r w:rsidRPr="00DA699C">
        <w:rPr>
          <w:rFonts w:ascii="微软雅黑" w:eastAsia="微软雅黑" w:hAnsi="微软雅黑" w:hint="eastAsia"/>
          <w:sz w:val="24"/>
          <w:szCs w:val="24"/>
        </w:rPr>
        <w:t>河口之间长江干线及支线水域，包括宜宾、泸州、重庆、涪陵、万州、宜昌、荆州、城陵矶、武汉、九江、安庆、芜湖、马鞍山、南京、扬州、镇江、江阴、张家港、南通等主要港口。</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其他各海事法院依据此前最高人民法院发布的决定或通知确定的管辖</w:t>
      </w:r>
      <w:r w:rsidRPr="00DA699C">
        <w:rPr>
          <w:rFonts w:ascii="微软雅黑" w:eastAsia="微软雅黑" w:hAnsi="微软雅黑" w:hint="eastAsia"/>
          <w:sz w:val="24"/>
          <w:szCs w:val="24"/>
        </w:rPr>
        <w:t>区域对海事案件行使管辖权。</w:t>
      </w:r>
    </w:p>
    <w:p w:rsidR="000B0685" w:rsidRPr="00DA699C" w:rsidRDefault="000E400F" w:rsidP="00DA699C">
      <w:pPr>
        <w:pStyle w:val="a8"/>
        <w:spacing w:line="320" w:lineRule="exact"/>
        <w:ind w:firstLine="480"/>
        <w:rPr>
          <w:rFonts w:ascii="微软雅黑" w:eastAsia="微软雅黑" w:hAnsi="微软雅黑"/>
          <w:b/>
          <w:bCs/>
          <w:sz w:val="24"/>
          <w:szCs w:val="24"/>
        </w:rPr>
      </w:pPr>
      <w:r w:rsidRPr="00DA699C">
        <w:rPr>
          <w:rFonts w:ascii="微软雅黑" w:eastAsia="微软雅黑" w:hAnsi="微软雅黑" w:hint="eastAsia"/>
          <w:b/>
          <w:bCs/>
          <w:sz w:val="24"/>
          <w:szCs w:val="24"/>
        </w:rPr>
        <w:t>二、关于海事行政案件管辖</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海事法院审理第一审海事行政案件。海事法院所在地的高级人民法院审理海事行政上诉案件，由行政审判庭负责审理。</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w:t>
      </w:r>
      <w:r w:rsidRPr="00DA699C">
        <w:rPr>
          <w:rFonts w:ascii="微软雅黑" w:eastAsia="微软雅黑" w:hAnsi="微软雅黑" w:hint="eastAsia"/>
          <w:sz w:val="24"/>
          <w:szCs w:val="24"/>
        </w:rPr>
        <w:t>海事行政案件由最初</w:t>
      </w:r>
      <w:proofErr w:type="gramStart"/>
      <w:r w:rsidRPr="00DA699C">
        <w:rPr>
          <w:rFonts w:ascii="微软雅黑" w:eastAsia="微软雅黑" w:hAnsi="微软雅黑" w:hint="eastAsia"/>
          <w:sz w:val="24"/>
          <w:szCs w:val="24"/>
        </w:rPr>
        <w:t>作出</w:t>
      </w:r>
      <w:proofErr w:type="gramEnd"/>
      <w:r w:rsidRPr="00DA699C">
        <w:rPr>
          <w:rFonts w:ascii="微软雅黑" w:eastAsia="微软雅黑" w:hAnsi="微软雅黑" w:hint="eastAsia"/>
          <w:sz w:val="24"/>
          <w:szCs w:val="24"/>
        </w:rPr>
        <w:t>行政行为的行政机关所在地海事法院管辖。经复议的案件，由复议机关所在地海事法院管辖。</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对限制人身自由的行政强制措施不服提起的诉讼，由被告所在地或者原告所在地海事法院管辖。</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前述行政机关所在地或者原告所在地不在海事法院管辖区域内的，由行政执法行为实施地海事法院管辖。</w:t>
      </w:r>
    </w:p>
    <w:p w:rsidR="000B0685" w:rsidRPr="00DA699C" w:rsidRDefault="000E400F" w:rsidP="00DA699C">
      <w:pPr>
        <w:pStyle w:val="a8"/>
        <w:spacing w:line="320" w:lineRule="exact"/>
        <w:ind w:firstLine="480"/>
        <w:rPr>
          <w:rFonts w:ascii="微软雅黑" w:eastAsia="微软雅黑" w:hAnsi="微软雅黑"/>
          <w:b/>
          <w:bCs/>
          <w:sz w:val="24"/>
          <w:szCs w:val="24"/>
        </w:rPr>
      </w:pPr>
      <w:r w:rsidRPr="00DA699C">
        <w:rPr>
          <w:rFonts w:ascii="微软雅黑" w:eastAsia="微软雅黑" w:hAnsi="微软雅黑" w:hint="eastAsia"/>
          <w:b/>
          <w:bCs/>
          <w:sz w:val="24"/>
          <w:szCs w:val="24"/>
        </w:rPr>
        <w:t>三、关于海事海商纠纷管辖权异议案件的审理</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当事人不服管</w:t>
      </w:r>
      <w:r w:rsidRPr="00DA699C">
        <w:rPr>
          <w:rFonts w:ascii="微软雅黑" w:eastAsia="微软雅黑" w:hAnsi="微软雅黑" w:hint="eastAsia"/>
          <w:sz w:val="24"/>
          <w:szCs w:val="24"/>
        </w:rPr>
        <w:t>辖权异议裁定的上诉案件由海事法院所在地的高级人民法院负责海事海商案件的审判庭审理。</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2.</w:t>
      </w:r>
      <w:r w:rsidRPr="00DA699C">
        <w:rPr>
          <w:rFonts w:ascii="微软雅黑" w:eastAsia="微软雅黑" w:hAnsi="微软雅黑" w:hint="eastAsia"/>
          <w:sz w:val="24"/>
          <w:szCs w:val="24"/>
        </w:rPr>
        <w:t>发生法律效力的管辖权异议裁定违反海事案件专门管辖确需纠正的，人民法院可依照《中华人民共和国民事诉讼法》第一百九十八条规定再审。</w:t>
      </w:r>
    </w:p>
    <w:p w:rsidR="000B0685" w:rsidRPr="00DA699C" w:rsidRDefault="000E400F" w:rsidP="00DA699C">
      <w:pPr>
        <w:pStyle w:val="a8"/>
        <w:spacing w:line="320" w:lineRule="exact"/>
        <w:ind w:firstLine="480"/>
        <w:rPr>
          <w:rFonts w:ascii="微软雅黑" w:eastAsia="微软雅黑" w:hAnsi="微软雅黑"/>
          <w:b/>
          <w:bCs/>
          <w:sz w:val="24"/>
          <w:szCs w:val="24"/>
        </w:rPr>
      </w:pPr>
      <w:r w:rsidRPr="00DA699C">
        <w:rPr>
          <w:rFonts w:ascii="微软雅黑" w:eastAsia="微软雅黑" w:hAnsi="微软雅黑" w:hint="eastAsia"/>
          <w:b/>
          <w:bCs/>
          <w:sz w:val="24"/>
          <w:szCs w:val="24"/>
        </w:rPr>
        <w:t>四、其他规定</w:t>
      </w:r>
    </w:p>
    <w:p w:rsidR="000B0685" w:rsidRPr="00DA699C" w:rsidRDefault="000E400F" w:rsidP="00DA699C">
      <w:pPr>
        <w:pStyle w:val="ab"/>
        <w:spacing w:line="320" w:lineRule="exact"/>
        <w:ind w:firstLine="480"/>
        <w:rPr>
          <w:rFonts w:ascii="微软雅黑" w:eastAsia="微软雅黑" w:hAnsi="微软雅黑"/>
          <w:sz w:val="24"/>
          <w:szCs w:val="24"/>
        </w:rPr>
      </w:pPr>
      <w:r w:rsidRPr="00DA699C">
        <w:rPr>
          <w:rFonts w:ascii="微软雅黑" w:eastAsia="微软雅黑" w:hAnsi="微软雅黑" w:hint="eastAsia"/>
          <w:sz w:val="24"/>
          <w:szCs w:val="24"/>
        </w:rPr>
        <w:t>本规定自</w:t>
      </w:r>
      <w:r w:rsidRPr="00DA699C">
        <w:rPr>
          <w:rFonts w:ascii="微软雅黑" w:eastAsia="微软雅黑" w:hAnsi="微软雅黑" w:hint="eastAsia"/>
          <w:sz w:val="24"/>
          <w:szCs w:val="24"/>
        </w:rPr>
        <w:t>2016</w:t>
      </w:r>
      <w:r w:rsidRPr="00DA699C">
        <w:rPr>
          <w:rFonts w:ascii="微软雅黑" w:eastAsia="微软雅黑" w:hAnsi="微软雅黑" w:hint="eastAsia"/>
          <w:sz w:val="24"/>
          <w:szCs w:val="24"/>
        </w:rPr>
        <w:t>年</w:t>
      </w:r>
      <w:r w:rsidRPr="00DA699C">
        <w:rPr>
          <w:rFonts w:ascii="微软雅黑" w:eastAsia="微软雅黑" w:hAnsi="微软雅黑" w:hint="eastAsia"/>
          <w:sz w:val="24"/>
          <w:szCs w:val="24"/>
        </w:rPr>
        <w:t>3</w:t>
      </w:r>
      <w:r w:rsidRPr="00DA699C">
        <w:rPr>
          <w:rFonts w:ascii="微软雅黑" w:eastAsia="微软雅黑" w:hAnsi="微软雅黑" w:hint="eastAsia"/>
          <w:sz w:val="24"/>
          <w:szCs w:val="24"/>
        </w:rPr>
        <w:t>月</w:t>
      </w:r>
      <w:r w:rsidRPr="00DA699C">
        <w:rPr>
          <w:rFonts w:ascii="微软雅黑" w:eastAsia="微软雅黑" w:hAnsi="微软雅黑" w:hint="eastAsia"/>
          <w:sz w:val="24"/>
          <w:szCs w:val="24"/>
        </w:rPr>
        <w:t>1</w:t>
      </w:r>
      <w:r w:rsidRPr="00DA699C">
        <w:rPr>
          <w:rFonts w:ascii="微软雅黑" w:eastAsia="微软雅黑" w:hAnsi="微软雅黑" w:hint="eastAsia"/>
          <w:sz w:val="24"/>
          <w:szCs w:val="24"/>
        </w:rPr>
        <w:t>日起施行。最高人民法院以前</w:t>
      </w:r>
      <w:proofErr w:type="gramStart"/>
      <w:r w:rsidRPr="00DA699C">
        <w:rPr>
          <w:rFonts w:ascii="微软雅黑" w:eastAsia="微软雅黑" w:hAnsi="微软雅黑" w:hint="eastAsia"/>
          <w:sz w:val="24"/>
          <w:szCs w:val="24"/>
        </w:rPr>
        <w:t>作出</w:t>
      </w:r>
      <w:proofErr w:type="gramEnd"/>
      <w:r w:rsidRPr="00DA699C">
        <w:rPr>
          <w:rFonts w:ascii="微软雅黑" w:eastAsia="微软雅黑" w:hAnsi="微软雅黑" w:hint="eastAsia"/>
          <w:sz w:val="24"/>
          <w:szCs w:val="24"/>
        </w:rPr>
        <w:t>的有关规定与本规定不一致的，以本规定为准。</w:t>
      </w:r>
    </w:p>
    <w:sectPr w:rsidR="000B0685" w:rsidRPr="00DA699C" w:rsidSect="00DA699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00F" w:rsidRDefault="000E400F">
      <w:r>
        <w:separator/>
      </w:r>
    </w:p>
  </w:endnote>
  <w:endnote w:type="continuationSeparator" w:id="0">
    <w:p w:rsidR="000E400F" w:rsidRDefault="000E4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685" w:rsidRDefault="000E400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B0685" w:rsidRDefault="000E400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B0685" w:rsidRDefault="000E400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685" w:rsidRDefault="000E400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B0685" w:rsidRDefault="000E400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0B0685" w:rsidRDefault="000E400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00F" w:rsidRDefault="000E400F">
      <w:r>
        <w:separator/>
      </w:r>
    </w:p>
  </w:footnote>
  <w:footnote w:type="continuationSeparator" w:id="0">
    <w:p w:rsidR="000E400F" w:rsidRDefault="000E4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38023A7"/>
    <w:rsid w:val="00021094"/>
    <w:rsid w:val="000B0685"/>
    <w:rsid w:val="000E400F"/>
    <w:rsid w:val="00323D76"/>
    <w:rsid w:val="00DA699C"/>
    <w:rsid w:val="02380A4E"/>
    <w:rsid w:val="02C54CFB"/>
    <w:rsid w:val="042F174E"/>
    <w:rsid w:val="0751543E"/>
    <w:rsid w:val="0BE369DE"/>
    <w:rsid w:val="0F9D48A9"/>
    <w:rsid w:val="0FC66F39"/>
    <w:rsid w:val="135B4974"/>
    <w:rsid w:val="192172E0"/>
    <w:rsid w:val="19EF53F7"/>
    <w:rsid w:val="1C547AC8"/>
    <w:rsid w:val="20194FCD"/>
    <w:rsid w:val="211007F7"/>
    <w:rsid w:val="224D5C1E"/>
    <w:rsid w:val="262050D6"/>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16B5484"/>
    <w:rsid w:val="65586BE5"/>
    <w:rsid w:val="6D800228"/>
    <w:rsid w:val="6DAD6BF0"/>
    <w:rsid w:val="6E1B4105"/>
    <w:rsid w:val="6EB66F23"/>
    <w:rsid w:val="738023A7"/>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2818D"/>
  <w15:docId w15:val="{D4F08BD2-A768-4E72-A161-A30CD992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2017-11-02T15:18:00Z</dcterms:created>
  <dcterms:modified xsi:type="dcterms:W3CDTF">2025-11-19T01:00:00Z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